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 признании Коноваленко Дениса Васильевича кредитором, требования которого не обеспеченны залогом, внесении изменения в реестр требований кредиторов, обязании финансового управляющего имуществом должника Землякова О.В. не распределять денежные средства, поступившие в конкурсную массу от продажи земельного участка с кадастровым номером: 50:08:0050329:100, объекта незавершенного строительства, кадастровый номер: 50:08:0000000:144805 и хозблока, до рассмотрения данного заявления по существу. Определением Арбитражного суда города Москвы от 22.12.2020 заявление удовлетворено. Постановлением Девятого арбитражного апелляционного суда от 15.03.2021, оставленным без изменения постановлением Арбитражного суда Московского округа от 24.05.2021, отменено определение суда первой инстанции от 22.12.2020,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статьи 385 Гражданского кодекса Российской Федерации, пункта 6 статьи 16 Федерального закона от 26.10.2002 № 127-ФЗ «О несостоятельности (банкротстве)», исходил из отсутствия причин для удовлетворения требования по заявленным основаниям.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Коваленко Михаилу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