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Дмитриева Павла Валентиновича конкурсный кредитор – Казаков Роман Юрьевич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договоров от 03.11.2016 купли-продажи транспортного средства (автомобиля) MAZDA CX-7, 2007 года выпуска, VIN JMZER893880107901, заключенных между должником и Кинокцианцем Андреем Георгиевичем, а также между должником в лице его представителя Кинокцианца А.Г. и Раковой Алиной Александровной, и применении последствий недействительности сделок в виде взыскания с Раковой А.А. в пользу должника рыночной стоимости указанного автомобиля, определенной на дату совершения оспариваемой сделки. 2 К участию в обособленном споре в качестве третьих лиц привлечены Мальченко Сергей Владимирович и публичное акционерное общество «Плюс Банк». Определением Арбитражного суда города Санкт-Петербурга и Ленинградской области от 27.10.2020 в удовлетворении заявления отказано. Постановлением Тринадцатого арбитражного апелляционного суда от 24.03.2021 определение суда первой инстанции оставлено без изменения. Арбитражный суд Северо-Западного округа постановлением от 21.06.2021 указанные судебные акты оставил без изменения. Финансовый управляющий Бабяк Игорь Александрович и кредитор Казаков Роман Юрьевич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Отказывая в удовлетворении заявления финансового управляющего, суды оценили представленные доказательства по правилам статьи 71 Арбитражного процессуального кодекса Российской Федерации, руководствовались пунктами 1 и 2 статьи 61.2 Федерального закона от 26.10.2002 № 127-ФЗ «О несостоятельности (банкротстве)», статьями 10, 170 Гражданского кодекса Российской Федерации и исходили из недоказанности совершения спорной сделки при неравноценном встречном исполнении обязательства с целью злоупотребления правом и причинения вреда кредиторам, установив, что при заключении оспариваемого договора от 03.11.2016 подлинная воля сторон была направлена на создание правовых последствий, сделка реально совершена сторонами и повлекла для них фактические и юридические последствия в виде 3 передачи имущества и прав на приобретенное имущество, договор с Раковой А.А. заключен на рыночных условиях, оплата по договору осуществлена в полном объеме, то есть должник получил равноценное встречное предоставление за реализацию имущества. Доводы, изложенные в кассационных жалобах, о наличии признаков, свидетельствующих о фактической аффилированности участников сделки, неравноценности встречного предоставления приводились при рассмотрении спора, были рассмотрены судами и им дана надлежащая оценка.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Бабяку Игорю Александровичу и кредитору Казакову Роману Юрьевичу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