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«Объединенная страховая компания» (далее – общество) обратилось в Арбитражный суд Самарской области с иском к администрации городского округа Самара (далее – администрация), муниципальному бюджетному учреждению городского округа Самара «Самараинформресурс» (далее – учреждение) о взыскании ущерба в порядке суброгации. К участию в деле в качестве третьего лица, не заявляющего самостоятельные требования, привлечен Ардашкин Евгений Александрович. Решением Арбитражного суда Самарской области от 04.09.2020, оставленным без изменения постановлением Одиннадцатого арбитражного апелляционного суда от 25.01.2021, обществу отказано в иске. 2 Арбитражный суд Поволжского округа постановлением от 31.05.2021 отменил указанные судебные акты и направил дело на новое рассмотрение в суд первой инстанции. Учреждение обратилось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На основании установленных судами первой и апелляционной инстанций фактических обстоятельствах дела, связанных с тем, что в результате сильного порыва ветра металлическая конструкция, являющаяся остановкой общественного транспорта, вследствие недостаточного ее укрепления, перелетела через дорогу и причинила повреждения транспортному средству, а также с наличием штормового предупреждения, суд округа пришел к выводу о том, что суды не установили обстоятельства, имеющие существенное значение для рассмотрения дела, в частности было ли в действительности стихийное природное явление в виде штормового ветра, исключающее вину ответчиков в причинении ущерба транспортному средству.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направил дело на новое рассмотрение в суд первой инстанции. Обжалуя судебные акты в Верховный Суд Российской Федерации, учреждение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3 Поскольку учреждение в силу части 1 статьи 41 Арбитражного процессуального кодекса Российской Федерации не лишено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