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города Москвы «Жилищник Молжаниновского района» (далее – истец) обратилось в Арбитражный суд города Москвы с иском о взыскании с Федерального государственного казенного учреждения «Специальное территориальное управление имущественных отношений» Министерства обороны Российской Федерации (далее – ответчик 1), а при недостаточности денежных средств в порядке субсидиарной ответственности с Российской Федерации в лице Министерства 2 обороны Российской Федерации (далее – ответчик 2) за счет казны Российской Федерации задолженности в размере 723 659 рублей 61 копеек, пени в размере 128 217 рублей 40 копеек. Решением Арбитражного суда города Москвы от 15.01.2021 исковые требования удовлетворены. Постановлением Девятого арбитражного апелляционного суда от 17.03.2021 решение изменено. Суд взыскал с ответчика 1, а в случае недостаточности денежных средств в порядке субсидиарной ответственности - с ответчика 2 в пользу истца задолженность в размере 723 659 рублей 61 копейку, 1 031 рубль 28 копеек почтовых расходов, 17 022 рублей расходов по оплате государственной пошлины, в удовлетворении остальной части требований истцу отказано. Арбитражный суд Московского округа постановлением от 29.06.2021 оставил без изменения решение суда первой инстанции в неизмененной части и постановление суда апелляционной инстанции. Истец обратился в Верховный Суд Российской Федерации с кассационной жалобой на постановления суда апелляционной инстанции и суда округа, в которой просит их отменить в части отказа в удовлетворении требований о взыскании пеней.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в отношении находящихся в собственности Российской Федерации и принадлежащих на праве оперативного управления ответчику 1 квартир истцом были надлежащим образом оказаны эксплуатационные услуги (по содержанию жилого помещения), которые не были оплачены ответчиком 1, суды пришли к выводу о наличии у ответчика 1 задолженности перед истцом по оплате оказанных услуг в заявленном размере, и удовлетворили требования истца в указанной части. 3 Суд апелляционной инстанции, установив факт ненаправления истцом в адрес ответчика платежных документов за спорный период, в которых был бы указан размер платы, которую ответчик не мог самостоятельно определить, пришел к выводу об отсутствии оснований для взыскания пеней и отказал в удовлетворении требования истца в этой части. Суд округа согласился с указанным выводом и оставил без изменения постановление суда апелляционной инстанции. Обжалуя судебные акты в Верховный Суд Российской Федерации, истец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отсутствием доказательств направления ответчику и получения им счетов, в которых был бы указан размер платы, которую ответчик не мог определить самостоятельно. Несогласие истца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