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22.09.2020, оставленным без изменения постановлением Девятнадцатого арбитражного апелляционного суда от 16.02.2021 и постановлением Арбитражного суда Центрального округа от 17.06.2021, в удовлетворении заявления отказано. 2 Определениями Арбитражного суда Орловской области от 22.10.2020 и от 07.12.2020 исправлены опечатки в тексте решения суда, а именно: в тексте решения на странице 8 в абзацах 4 и 6 вместо «договор от 25.07.2019 № 208-Д/19» указать «договор от 09.04.2018 № 163-Д/18»; на странице 9 в абзаце 2 вместо «договор от 25.07.2019 № 208-Д/19» указать «договор от 09.04.2018 № 163-Д/18». В остальной части решение суда оставлено без изменения. Постановлениями Девятнадцатого арбитражного апелляционного суда от 16.02.2021 и постановлениями Арбитражного суда Центрального округа от 20.05.2021 определения суда первой инстанции оставлены без изменения. В кассационных жалобах, поданных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договора с департаментом от 13.12.2018 № 238-Д/18 общество в 2019 году осуществляло транспортное обслуживание населения железнодорожным транспортом в пригородном сообщении на территории Орловской области, в связи с чем 05.06.2019 обратилось в департамент с заявлением на получение субсидии на компенсацию выпадающих доходов от государственного регулирования тарифов на перевозки пассажиров железнодорожным транспортом общего пользования в пригородном сообщении по территории Орловской области. По результатам рассмотрения представленных обществом документов департаментом принято решение о заключении с обществом договора о предоставлении субсидий из областного бюджета, направлен проект договора № 208-Д/19 на 2019 год. Отказывая в удовлетворении заявленного требования по существу спора, суд первой инстанции исходил из недоказанности бездействия со стороны департамента. Впоследствии судебными актами суда первой инстанции в решение суда от 22.09.2020 внесены вышеуказанные исправления. 3 Суд апелляционной инстанции указал, что обжалуемые определения не изменяют содержание судебного акта по делу и тех выводов, к которым пришел суд на основании исследования доказательств, не влекут изменение по существу мотивов, на основании которых суд принял судебный акт. Оставляя судебные акты без изменения, суд округа, установив, что у суда первой инстанции отсутствовали основания для изменения реквизитов договора в результате исправления опечатки, пришел к выводу о том, что ошибочное исправление судом опечатки не привело к изменению судебного акта по существу спора. Доводы, изложенные в кассационных жалобах, не свидетельствуют о существенных нарушениях судами норм процессуального права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