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Кировской области от 24.09.2020, оставленным без изменения постановлением Второго арбитражного апелляционного суда от 15.12.2020 и постановлением Арбитражного суда Волго-Вятского округа от 05.04.2021, иск удовлетворен. В кассационной жалобе, поданной в Верховный Суд Российской Федерации, общество с ограниченной ответственностью «СТИЛЬМАРК» (далее – общество) просит отменить обжалуемые судебные акты, ссылаясь на нарушение судами норм материального права, принять новый судебный акт, которым в удовлетворении иска отказать. В соответствии с пунктом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порядке. Изучив доводы, изложенные в кассационной жалобе, суд пришел к выводу, что они не являются достаточным основанием для пересмотра судебных актов в кассационном порядке. Удовлетворяя иск, суды, руководствуясь положениями статей 309 , 431 , 606 , 614 , 617 Гражданского кодекса Российской Федерации, исходили из того, что невключение налога на добавленную стоимость в размер арендного платежа был обусловлен применением первоначальным арендодателем упрощенной системы налогообложения, между тем, истец является плательщиком налога на добавленную стоимость, в связи с чем в соответствии с налоговым законодательством начислил его сумму дополнительно к размеру арендной платы. Поскольку существенных нарушений норм материального права и (или) норм процессуального права, повлиявших на исход дела, доводы жалобы не подтверждают, в силу статьи 291.6 Арбитражного процессуального кодекса Российской Федерации оснований для передачи жалобы для рассмотрения в судебном заседании Судебной коллегии Верховного Суда Российской Федерации не имеется. Учитывая изложенное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«СТИЛЬМАРК»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Е.Е. Борисова Суд: Верховный Суд РФ (подробнее) Истцы: АО "Кировский завод цепей" (подробнее) Ответчики: ООО "СТИЛЬМАРК" (подробнее) Судьи дела: Борисова Е.Е. (судья) (подробнее) Последние документы по делу: Определение от 20 сентября 2021 г. по делу № А28-63/2020 Определение от 3 августа 2021 г. по делу № А28-63/2020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