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15.12.2020 в удовлетворении первоначального иска отказано, встречный иск удовлетворен. Постановлением Семнадцатого арбитражного апелляционного суда от 16.03.2021 решение суда первой инстанции отменено, первоначальный иск удовлетворен, в удовлетворении встречного иска отказано. Постановлением Арбитражного суда Уральского округа от 04.06.2021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материального и процессуального права, просит отменить их постановления и направить дело на новое рассмотрение в Семнадцатый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первоначальный иск мотивирован тем, что общество (покупатель) необоснованно отказалось принять поставленную компанией продукцию и безосновательно расторгло договор поставки от 10.03.2020 № 7406 (далее – договор), чем причинило последней убытки в виде затрат на транспортировку продукции и проведение экспертизы качества продукции. В обоснование встречного иска общество сослалось на поставку продукции ненадлежащего качества.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руководствуясь статьями 15 , 431 , 454 , 455 , 456 , 464 , 506 Гражданского кодекса Российской Федерации, разъяснениями, изложенными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 апелляционной инстанции пришел к выводу о наличии оснований для удовлетворения первоначального иска и отказа в удовлетворении встречного иска, исходя из установленных обстоятельств, свидетельствующих об исполнении компанией обязательств по поставке обществу продукции надлежащего качества и недоказанности последним обратного. Суд округа поддержал выводы апелляционного суда. Доводы кассационной жалобы сводятся к изложению обстоятельств дела, которые были предметом исследования и оценки суда апелляционной инстанции. Существенных нарушений норм материального и процессуального права, которые могли повлиять на исход дела, доводы жалобы не подтверждают и не являются достаточным основанием для пересмотра обжалуемых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«Уралкриомаш»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АРСЕНАЛ СТАЛЬ ГРУПП (подробнее) Ответчики: АО УРАЛКРИОМАШ (подробнее) Судьи дела: Чучунова Н.С. (судья) (подробнее) Судебная практика по: Упущенная выгода Судебная практика по применению норм ст. 15, 393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