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завод обратился в суд с иском к обществу с ограниченной ответственностью «Технотрон» (далее – общество) и его руководителю ФИО1 о взыскании 1 030 758 рублей 15 копеек убытков. Решением Арбитражного суда Краснодарского края от 28.01.2021, оставленным без изменения постановлениями Пятнадцатого арбитражного апелляционного суда от 26.03.2021 и Арбитражного суда Северо-Кавказского округа от 16.07.2021, в удовлетворении иска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суды, руководствуясь статьями 15 , 53.1 , 56 Гражданского кодекса Российской Федерации, статьёй 61.11 Федерального закона от 26.10.2002 № 127-ФЗ «О несостоятельности (банкротстве)», исходили из недоказанности фактов злоупотребления правом, недобросовестности и (или) неразумности действий (бездействия) общества и его руководителя, сокрытия сведений о заведомой неплатёжеспособности, причинно – следственной связи между поведением названных лиц и невозможностью исполнения обществом своих обязательств перед заводом.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«Композит Групп»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"Бузулукский механический завод" (подробнее) Ответчики: ООО "Технотрон"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