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ФИО3 обратилась в суд с заявлением о включении в реестр требований о передаче жилых помещений (далее – реестр) требования о передаче жилого помещения – однокомнатной квартиры под условным номером 17, общей площадью 33,5 кв. м, расположенной по адресу: &lt;...&gt;, этаж 4, в размере исполненных обязательств на сумму 2 300 000 рублей по договору на долевое участие в строительстве жилья от 12.05.2015 № 17/12052015. Определением Арбитражного суда Белгородской области от 08.10.2019, оставленным без изменения постановлениями Девятнадцатого арбитражного апелляционного суда от 24.01.2010 и Арбитражного суда Центрального округа от 06.06.2020,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201.1, 201.4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установив факт неисполнения должником обязанности по передаче жилого помещения при доказанности оплаты участником долевого строительства ФИО3 его стоимости, равно как и финансовой возможности внесения соответствующей суммы денежных средств, пришли к выводам о наличии оснований для включения заявленного требования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«Стройдом»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ООО "СтройДом" (подробнее) Иные лица: Департаменту строительства и транспорта по Белгородской области (подробнее) ИФНС РФ по г.Белгороду (подробнее) ПАО Банк ВТБ (подробнее) ПАО "Сбербанк России" (подробнее) ПАО Филиал №3652 ВТБ 24 г. Воронеж (подробнее) Союз арбитражных управляющих "Саморегулируемая организация "Дело" (подробнее) судебный участок №1 Шебекинского района и г. Шебекино Белгородской области (подробнее) Управление Федеральной налоговой службы по Белгородской области (подробнее) Управление Федеральной службы государственной регистрации, кадастра и картографии по Республике Алтай (подробнее) Фонд защиты прав граждан - участников долевого строительства (подробнее) Судьи дела: Корнелюк Е.С. (судья) (подробнее) Последние документы по делу: Определение от 4 декабря 2020 г. по делу № А08-2104/2018 Определение от 5 ноября 2020 г. по делу № А08-2104/2018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