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13.09.2021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учитывая основания первоначального возврата кассационной жалобы,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Никольских Николая Павловича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