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документации у Башлыкова Александра Вячеславовича, Стефнацука Владимира Игоревича и Черниковой Юлии Викторовны, взыскании судебной неустойки. Определением Арбитражного суда города Москвы от 10.07.2020, оставленным без изменения постановлением Девятого арбитражного апелляционного суда от 17.09.2020, в удовлетворении заявленных требований отказано. Постановлением Арбитражного суда Московского округа от 25.11.2020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22.03.2021 у Стефанчука В.И. истребована бухгалтерская и иная документация должника, печати, штампы, материальные и иные ценности путем передачи их по акту приема-передачи конкурсному управляющему (согласно перечню обжалуемого определения). Постановлением Девятого арбитражного апелляционного суда от 30.04.2021 принятое на новом рассмотрении определение суда первой инстанции изменено. К Стефанчуку В.И. применена неустойка на основании части 1 статьи 308.3 Гражданского кодекса Российской Федерации 2 за неисполнение определения Арбитражного суда города Москвы от 22.03.2021 в размере 1 000 рублей с момента вынесения настоящего постановления; в остальной части судебный акт оставлен без изменения. Постановлением Арбитражного суда Московского округа от 13.07.2021 отменены определение суда первой инстанции от 22.03.2021 и постановление апелляционного суда от 30.04.2021 в части истребования бухгалтерской и иной документации должника у Стефанчука В.И., взыскания с него судебной неустойки. В данной части принят новый судебный акт об отказе в удовлетворении заявленных требований. В остальной части принятые на новом рассмотрении определение суда первой инстанции и постановление апелляционного суда оставлены без изменения. В кассационной жалобе, поданной в Верховный Суд Российской Федерации, заявитель просить отменить принятое на новом рассмотрении постановление суда округа, оставить в силе определение суда первой инстанции и постановление апелляционного суда. Исходя из доводов кассационной жалобы, заявитель не согласен с постановлением суда округа в части отмены судебных актов и принятии нового судебного акта об отказе в удовлетворении требований к Стефанчуку В.И.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в обжалуемой части, суд округа руководствовался пунктами 22 и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исходил из того, что заявителем не доказан факт наличия истребуемой и относящейся к деятельности должника документации именно у заместителя генерального директора Стефанчука В.И., в связи с чем признал их не отвечающими признакам исполнимости.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«ГСК Термоинжениринг» Закарьяну Дмитрию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