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Тимошин А.В. и Захаренков Д.Н. обратились в суд с заявлением о признании незаконными действий арбитражного управляющего Белобрагиной Александры Андреевны по заключению от имени должника договоров займа и взыскании с неё в конкурсную массу убытков в сумме 217 000 рублей. Определением Арбитражного суда Московской области от 26.08.2020, оставленным без изменения постановлениями Десятого арбитражного апелляционного суда от 01.02.2021 и Арбитражного суда Московского округа от 28.04.2021, признаны не соответствующими закону действия Белобрагиной А.А., выразившиеся в заключении договоров займа от 23.07.2018 и от 31.08.2018 на общую сумму 217 000 рублей, отказано в удовлетворении требований о взыскании с Белобрагиной А.А. убытков в конкурсную массу должника.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требований о взыскании убытков, в указанной части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статьи 20.3 Федерального закона от 26.10.2002 № 127-ФЗ «О несостоятельности (банкротстве)», исходили из отсутствия оснований для удовлетворения заявлений в части взыскания убытков ввиду недоказанности их причинения оспариваемыми действиями арбитражного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