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13.01.2021, оставленным без изменения постановлением Восемнадцатого арбитражного апелляционного суда от 06.04.2021 заявление удовлетворено. Арбитражный суд Уральского округа постановлением от 22.06.2021, определение от 13.01.2021 и постановление апелляционного суда от 06.04.2021 оставил без изменения. В кассационной жалобе Штинов П.С. просит об отмене судебных актов, ссылаясь на несоответствие выводов судов о неплатежеспособности должника на момент заключения сделок и их безденежности обстоятельствам спора,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должником имущества в пользу связанного с ним лица в ситуации неисполнения денежных обязательств перед сторонними лицами и во вред им, что создает условия для признания оспариваемых сделок недействительными в силу пункта 2 статьи 61.2 Федерального закона от 26.10.2002 № 127-ФЗ «О несостоятельности (банкротстве)». Действия судов, которые заявитель считает процессуальными нарушениями, таковыми не являются и, как и оспаривание обоснованных выводов судов в отношении существа спора, не влекут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Штинову П.С.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