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Марчевская Ирина Викторовна обратилась в суд с заявлением о признании недействительными сделками: договора уступки права от 30.09.2016, заключенного между должником и Хакимовым Р.И., соглашения о прекращении обязательств от 09.01.2017, заключенное между должником и Хакимовым Р.И., договора новации от 19.10.2017 между Хакимовым Р.И. и Епифановой Л.Е., соглашения о прекращении обязательств зачетом от 31.01.2018 между Хакимовым Р.И. и Епифановой Л.Е., которым прекращены обязательства Епифановой Л.Е. из договора новации от 19.10.2017 и договора купли-продажи от 30.10.2015 между должником и Хакимовым Р.И. Применении последствий недействительности сделки в виде восстановления задолженности Епифановой Л.Е. перед должником по договору купли-продажи от 22.03.2016 в размере 5 400 000 рублей. Определением Арбитражного суда Пермского края от 04.01.2021 отказано в удовлетворении заявления. Постановлением Семнадцатого арбитражного апелляционного суда от 16.03.2021, оставленным без изменения постановлением Арбитражного суда Уральского округа от 01.06.2021, изменено определение суда первой инстанции от 04.01.2021, заявление конкурсного управляющего удовлетворено частично, признаны недействительными договор уступки права требования от 30.09.2016 и соглашение о прекращении обязательств зачётом от 09.01.2017, совершенные между должником и Хакимовым Р.И., применены последствия 2 недействительности сделок в виде взыскания с Хакимова Р.И. 5 400 000 рублей в пользу должника, отказано в удовлетворении остальных требований.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без изменения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апелляционный суд, руководствуясь положениями статьи 200 Гражданского кодекса Российской Федерации, пункта 2 статьи 61.2 и 61.6 Федерального закона от 26.10.2002 № 127-ФЗ «О несостоятельности (банкротстве)», признав соблюдение срока давности для предъявления настоящего требования и установив совершение части оспариваемых взаимосвязанных сделок в пределах периода подозрительности с противоправной целью заинтересованными лицами при наличии признаков несостоятельности должника, пришли к выводу о частичной обоснованности заявления, указав на следствие сделок – причинение вреда имущественным правам кредиторов должника, правомерно применив последствия их недействительности. Суд округа поддержал выводы суда апелляционной инстанции. Доводы заявителя о пропуске срока исковой давности были предметом рассмотрения суда округа и получили надлежащую оценку, отклонены как несостоятельные с подробным изложением мотивов отклонения.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Хакимову Ринату Ильдусовичу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