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требований в размере 98 133 091 рубля 24 копеек. Определением Арбитражного суда Ханты-Мансийского автономного округа – Югры от 09.12.2020, оставленным без изменения постановлениями Восьмого арбитражного апелляционного суда от 10.02.2021 и Арбитражного суда Западно-Сибирского округа от 26.05.2021, признана обоснованной и подлежащей удовлетворению в очерёдности, предшествующей распределению ликвидационной квоты, задолженность должника перед обществом в размере 97 684 061 рубль 53 копейки, в части требований на сумму 449 029 рублей 71 копейка заявление оставлено без рассмотрения,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указанное постановление суда округа, включить требования общества в третью очередь реестра в полном объёме. Исходя из содержания настоящей жалобы, заявитель не согласен с судебным актом в части выводов о субординации требований общества.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без изменения определение суда первой инстанции и постановление апелляционного суда, суд округа, руководствуясь положениями статей 71 и 100 Федерального закона от 26.10.2002 № 127-ФЗ «О несостоятельности (банкротстве)», позицией, изложенной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правомерно поддержав выводы судов о необходимости субординации требований общества, согласился с необходимость оставления без рассмотрения части требований.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«Югра-Настсталь»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