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«МК Строй» (далее – общество) обратилось в суд с заявлением о включении в реестр требований кредиторов должника (далее – реестр) требования в размере 17 000 000 рублей. Определением Арбитражного суда города Санкт-Петербурга и Ленинградской области от 17.12.2020, оставленным без изменения постановлениями Тринадцатого арбитражного апелляционного суда от 03.03.2021 и Арбитражного суда Северо-Западного округа от 26.05.2021, заявление удовлетворено.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409, 414, 702 и 740 Гражданского кодекса Российской Федерации, пришли к выводу об обоснованности и подтверждённости требований и, как следствие, наличия оснований для включения требований общества в реестр, указав на отсутствие надлежащих доказательств погашения или прекращения обязательств, положенных в основу требований общества.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Гаркайсу Константину Валерьяновичу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