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(далее – реестр) задолженности в размере 707 595 673 рубля 91 копейки. Определением Арбитражного суда Хабаровского края от 14.12.2020, оставленным без изменения постановлениями Шестого арбитражного апелляционного суда от 05.03.2021 и Арбитражного суда Дальневосточного округа от 20.05.2021, требование признано обоснованным и подлежащим удовлетворению в очерёдности, предшествующей распределению ликвидационной квоты.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заявления с отнесением задолженности в третью очередь реестра.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статьями 71, 100, 142, 148 Федерального закона от 26.10.2002 № 127-ФЗ «О несостоятельности (банкротстве)» и исходили из того, что требование представляло собой компенсационное финансирование, предоставленное аффилированным должнику лицом, а последующая уступка обществу прав по данному требованию не может изменить очерёдность его удовлетворения. Выводы судов соответствуют нормам права, оснований для переоценки этих выводов не имеется. Существенных нарушений норм материального права и (или) норм процессуального права, способных повлиять на исход рассмотрения дела,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«Агентство по работе с проблемными активами»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