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Кузнецова Ольга Александровна (далее – кредитор) обратилась в суд с заявлением о включении в реестр требований кредиторов (далее – реестр) задолженности в размере 152 971 рубля 18 копеек, в том числе 127 500 рублей личных сбережений, 22 500 рублей паенакоплений, 2 971 рубля 18 копеек процентов за пользование чужими денежными средствами. Определением Арбитражного суда Московской области от 14.12.2020, оставленным без изменения постановлениями Десятого арбитражного апелляционного суда от 25.02.2021 и Арбитражного суд Московского округа от 20.05.2021,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очерёдности удовлетворения требований по основному долгу и процентам, принять по делу новый судебный акт о включении данной части требований в третью очередь третьей очереди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134, 189.5 Федерального закона от 26.10.2002 № 127-ФЗ «О несостоятельности (банкротстве)», исходили из необходимости определения статуса кредитора на дату возникновения её требования и невозможности переложения на неё как бывшего участника неблагоприятных последствий, вызванных исключительно неисполнением должником своих гражданско-правовых обязательств, правильно определив очерёдность удовлетворения требований по основному долгу и процентам.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кредитного потребительского кооператива «Поддержка» Смагину Владимиру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