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Королёва Татьяна Павловна (далее – кредитор) обратилась в суд с заявлением о включении в реестр требований кредиторов (далее – реестр) задолженности в размере 101 150 рублей, 1 987 рублей 07 копеек процентов за пользование чужими денежными средствами. Определением Арбитражного суда Московской области от 14.12.2020, оставленным без изменения постановлениями Десятого арбитражного апелляционного суда от 26.02.2021 и Арбитражного суд Московского округа от 19.05.2021,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в части очерёдности удовлетворения требований по основному долгу и процентам, принять по делу новый судебный акт о включении данной части требований в третью очередь третьей очереди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134, 189.5 Федерального закона от 26.10.2002 № 127-ФЗ «О несостоятельности (банкротстве)», исходили из необходимости определения статуса кредитора на дату возникновения её требования и невозможности переложения на неё как бывшего участника неблагоприятных последствий, вызванных исключительно неисполнением должником своих гражданско- правовых обязательств, правильно определив очерёдность удовлетворения требований по основному долгу и процентам.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способных повлиять на исход рассмотрения дела,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кредитного потребительского кооператива «Поддержка» Смагину Владимиру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