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Лавренова Светлана Ивановна (далее – кредитор) обратилась в суд с заявлением о включении в реестр требований кредиторов (далее – реестр) задолженности в размере 513 605 рублей 66 копеек, в том числе 425 000 рублей личных сбережений, 75 000 рублей паенакоплений, 5 353 рубля 13 копеек процентов за пользование чужими денежными средствами. Определением Арбитражного суда Московской области от 14.12.2020, оставленным без изменения постановлениями Десятого арбитражного апелляционного суда от 25.02.2021 и Арбитражного суд Московского округа от 20.05.2021,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очерёдности удовлетворения требований по основному долгу и процентам, принять по делу новый судебный акт о включении данной части требований в третью очередь третьей очереди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134, 189.5 Федерального закона от 26.10.2002 № 127-ФЗ «О несостоятельности (банкротстве)», исходили из необходимости определения статуса кредитора на дату возникновения её требования и невозможности переложения на неё как бывшего участника неблагоприятных последствий, вызванных исключительно неисполнением должником своих гражданско-правовых обязательств, правильно определив очерёдность удовлетворения требований по основному долгу и процентам.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кредитного потребительского кооператива «Поддержка» Смагину Владимиру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