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Шацкий А.А. обратился в суд с заявлением о признании должника несостоятельным (банкротом), введении процедуры наблюдения, включении в третью очередь реестра требований кредиторов должника (далее – реестр) 109 685 789 рублей 30 копеек, утверждении временного управляющего из числа членов предложенной им саморегулируемой организации. Определением Арбитражного суда Свердловской области от 17.12.2020 требование признано необоснованным, во введении наблюдения отказано, производство по делу прекращено. Постановлением Семнадцатого арбитражного апелляционного суда от 12.03.2021, оставленным без изменения постановлением Арбитражного суда Уральского округа от 20.05.2021, данное определение отменено. Требование признано обоснованным и включено в третью очередь реестра, в отношении должника введено наблюдение; вопрос об утверждении временного управляющего должником методом случайно выборки направлен на рассмотрение в суд первой инстанции.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выбора кандидатуры временного управляющего должником методом случайно выборки.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апелляционной инстанции и округа руководствовались статьями 20, 20.2, 45, 49 Федерального закона от 26.10.2002 № 127-ФЗ «О несостоятельности (банкротстве)», и пришли к правильным выводам о том, что решение о выборе кандидатуры арбитражного управляющего не может быть принято аффилированным должнику лицом, поскольку это противоречит существу законодательного регулирования в сфере несостоятельности. Ввиду указанных обстоятельств и предоставленных дискреционных полномочий суды сочли наиболее оптимальным вариантом поиска управляющего назначение последнего методом случайной выборки саморегулируемой организации, направив спорный вопрос на рассмотрение суда первой инстанции. Выводы судов апелляционной инстанции и округа в обжалуемой части соответствуют нормам права, оснований для переоценки этих выводов не имеется. Существенных нарушений норм материального права и (или) норм процессуального права, способных повлиять на исход рассмотрения дела, судами апелляционной инстанции и округа не допущено. Как следует из размещенной на официальном сайте Картотеки арбитражных дел (http://kad.arbitr.ru/) информации о движении настоящего дела № А60-52300/2020, определением Арбитражного суда Свердловской области от 29.04.2021 спорный вопрос разрешён. В этой связи права заявителя нельзя признать нарушенными.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Шацкому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