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руководитель Шабанов Михаил Владимирович обратился в суд с жалобой на действия (бездействие) конкурсного управляющего Шаповаленко Б.Н., выразившееся в уклонении от получения бухгалтерской документации должника, передача которой обеспечена руководителем Шабановым М.В., с требованием об обязании управляющего принять бухгалтерскую документацию и отстранить его от исполнения обязанностей конкурсного управляющего должником. Определением Арбитражного суда Тюменской области от 30.11.2020, оставленным без изменения постановлениями Восьмого арбитражного апелляционного суда от 10.02.2021 и Арбитражного суда Западно-Сибирского округа от 25.05.2021, жалоба удовлетворена. В кассационной жалобе, поданной в Верховный Суд Российской Федерации, заявитель просит отменить названные судебные акты и прекратить производство по жалобе.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20.3, 126, 129 Федерального закона от 26.10.2002№ 127-ФЗ «О несостоятельности (банкротстве)», пунктом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указали на несоответствие оспариваемого бездействия заявителя требованиям законодательства о банкротстве, не отвечающего критериям добросовестности и разумности, рассмотрев и мотивировано отклонив его возражения об отсутствии у бывшего руководителя должника права на подачу жалобы.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Шаповаленко Борису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