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«М-Инвест» (далее – общество) обратилось в суд с заявлением о включении в реестр требований кредиторов должника (далее – реестр) задолженности в размере 223 720 рублей. Определением Арбитражного суда города Москвы от 27.11.2020, оставленным без изменения постановлениями Девятого арбитражного апелляционного суда от 27.11.2020 и Арбитражного суда Московского округа от 20.05.2021,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отсутствия относимых и допустимых доказательств исполнения должником своих обязательств по передаче обществу оплаченного им товара (двух зеркальных фотоаппаратов), в связи с чем признали требование обоснованным и подлежащим включению в третью очередь реестра.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«Даймонд Электрик» Коданову Максиму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