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обратилась в суд с заявлением о взыскании с бывшего конкурного управляющего должником Шабановой Е.С. в пользу должника 13 923 960 рублей 74 копейки убытков. Определением Арбитражного суда Псковской области от 02.11.2020, оставленным без изменения постановлениями Четырнадцатого арбитражного апелляционного суда от 09.02.2021 и Арбитражного суда Северо-Западного округа от 21.05.2021, заявление удовлетворено частично, с Шабановой Е.С. в пользу должника взыскано 8 033 628 рублей убытков, отказано в удовлетворении заявления в остальной части.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дополнением таких оснований не установлено. Разрешая спор в обжалуемой части, суды, руководствуясь положениями статьи 15 Гражданского кодекса Российской Федерации, статей 20.3 и 20.4 Федерального закона от 26.10.2002 № 127-ФЗ «О несостоятельности (банкротстве)», исходили из обоснованности заявления ввиду наличия причинно-следственной связи между действиями (бездействием) Шабановой Е.С. и возникновением убытков на стороне должника в 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Шабановой Екатерине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