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Жук В.В. обратился в суд с заявлением о включении неустойки в размере 9 315 946 рублей 26 копеек в реестр требований кредиторов должника (далее – реестр) и о взыскании неустойки. Определением Арбитражного суда Московской области от 08.02.2021, оставленным без изменения постановлениями Десятого арбитражного апелляционного суда от 13.04.2021 и Арбитражного суда Московского округа от 06.07.2021, требование Жука В.В. о взыскании неустойки в размере 7 124 122 рублей признано обоснованным, подлежащим удовлетворению за счёт имущества, оставшегося после удовлетворения требований, включенных в реестр требований кредиторов должника.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изменить определение суда первой инстанции в части установления очередности и способа удовлетворения требования или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137, 142, 201.1 и 201.9 Федерального закона от 26.10.2002 № 127-ФЗ «О несостоятельности (банкротстве)», исходили из пропуска срока на предъявление настоящих требований на момент обращения в отсутствии ходатайства о восстановлении срока, а также указали на то, что подобные требования не подлежат включению в третью очередь реестра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Жуку Владиславу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