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с обществом «Грос Ритейл» по вопросу необходимости отнесения требований общества с ограниченной ответственностью «НСК Холди» по текущим платежам в размере 30 232 208 рублей 34 копейки и требования общества с ограниченной ответственностью «Бест Прайс» в размере 1 036 101 610 рублей 02 копейки к кредиторам, требования которых подлежат удовлетворению в очередности, предшествующей распределению ликвидационной квоты. Определением Арбитражного суда Новосибирской области от09.02.2021, оставленным без изменения постановлениями Седьмого арбитражного апелляционного суда от 27.04.2021 и Арбитражного суда Западно-Сибирского округа от 07.07.2021, в удовлетворении заявления отказано. В кассационных жалобах, поданных в Верховный Суд Российской Федерации, заявители просит отменить названные судебные акты и принять по делу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субординировании требований обществ «НСК Холди» и «Бест Прайс», суды, руководствуясь статьями 382, 384, 388 Гражданского кодекса Российской Федерации, пунктом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реальности правоотношений должника с первоначальными кредиторами – цедентами, недоказанности внутригруппового характера отношений с ними и злоупотребления правом со стороны аффилированных лиц, приобретших свои требования к должнику после признания его банкротом.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кассационных жалоб не установлено.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«Альфа-Банк», обществу с ограниченной ответственностью «Билд Инвест», обществу с ограниченной ответственностью «Грос Ритейл», акционерному обществу «Российский Сельскохозяйственный банк», конкурсному управляющему обществом с ограниченной ответственностью «Компания Холидей» Кузнецову Трофиму Игоревичу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