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«Пермтрансжелезобетон» обратилось в Арбитражный суд Хабаровского края с иском, уточненным в порядке статьи 49 Арбитражного процессуального кодекса Российской Федерации, о взыскании с открытого акционерного общества «Российские железные дороги»837 312 рублей неустойки, начисленной на основании статьи 97 Федерального закона от 10.01.2003 № 18-ФЗ «Устав железнодорожного транспорта Российской Федерации» (далее - Устав железнодорожного транспорта) за нарушение срока доставки груза, отправленного по транспортной железнодорожной накладной № ЭЧ 074913. К участию в деле в качестве третьего лица, не заявляющего самостоятельных требований относительно предмета спора, привлечено открытое акционерное общество «Сахалинское морское пароходство». Решением Арбитражного суда Хабаровского края от 23.11.2020 иск удовлетворен. Постановлением Шестого арбитражного апелляционного суда от 03.02.2021 решение суда первой инстанции оставлено без изменения. Арбитражный суд Дальневосточного округа постановлениемот 20.05.2021 указанные судебные акты оставил без изменения. Открытое акционерное общество «Сахалинское морское пароходство»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нарушение срока доставки груза в прямом смешанном сообщении (железнодорожным и морским транспортом), руководствуясь положениями статей 784 , 785 , 792 , 793 Гражданского кодекса Российской Федерации, статьями 33, 75, 97 Устава железнодорожного транспорта, суды пришли к выводу о наличии оснований для взыскания сОАО «Российские железные дороги» пеней за просрочку доставки груза, не усмотрев оснований для применения статьи 333 Гражданского кодекса Российской Федерации. Доводы, изложенные заявителем в кассационной жалобе, приводились в судах,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«Сахалинское морское пароходство»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"ПЕРМТРАНСЖЕЛЕЗОБЕТОН" (подробнее) Ответчики: ОАО "РЖД" Дальневосточный ТЦФТО (подробнее) ОАО "Российские железные дороги" (подробнее) Иные лица: ОАО "РЖД" в лице Дальневосточной железной дороги - филиала "РЖД" (подробнее) ОАО "Сахалинское морское пароходство"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