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28.10.2019 исковое заявление возвращено. Постановлением Девятого арбитражного апелляционного суда от 19.12.2019, оставленным без изменения постановлением Арбитражного суда Московского округа от 29.06.2020, определение от 28.10.2019 отменено, вопрос направлен на новое рассмотрение в Арбитражный суд города Москвы. В кассационной жалобе общество «Вершина» просит об отмене судебных актов, ссылаясь на отсутствие условий для привлечения к участию в деле нескольких ответчиков и выбора подсудности по месту нахождения одного из них.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Проверка обоснованности предъявляемых ответчикам требований на стадии принятия искового заявления не производится. Суды правомерно исходили из права истца на выбор арбитражного суда.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«Вершина»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К/у ООО ГК "Крост" (подробнее) ОБЩЕСТВО С ОГРАНИЧЕННОЙ ОТВЕТСТВЕННОСТЬЮ ГК "КРОСТ" (подробнее) Ответчики: ООО "Альфа" (подробнее) ООО "Вершина" (подробнее) ООО "Мегаком"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