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Свердловской области от 23.10.2020, оставленным без изменения постановлением Семнадцатого арбитражного апелляционного суда от 26.01.2021 и постановлением Арбитражного суда Уральского округа от 12.05.2021, исковые требования удовлетворены. В кассационной жалобе общество «Урайавиа» просит об отмене судебных актов, ссылаясь на недоказанность законных условий для взыскания упущенной выгоды.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исследовав содержание соглашения от 21.03.2018 № 7.1/У/180337, не квалифицировали заявленную сумму в качестве убытков, вследствие чего основания для установления условий, необходимых для их взыскания в силу статей 15,393 Гражданского кодекса Российской Федерации не имели. Судебные акты соответствуют соглашению и статьям 309, 310, 421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«Урайавиа»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