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17.12.2020 (с учетом определения от 18.12.2020 об исправлении опечатки) взыскано 833 700 рублей убытков. Девятый арбитражный апелляционный суд постановлением от 12.02.2021 отменил решение от 17.12.2020 и удовлетворил иск в заявленном объеме. Арбитражный суд Московского округа постановлением от 24.05.2021 постановление Девятого арбитражного апелляционного суда от 12.02.2021 оставил без изменения. В кассационной жалобе компания с ограниченной ответственностью Sandmark Operations Limited просит об отмене судебных актов вследствие отсутствия убытков, неуменьшения их размера, несоблюдения досудебного порядка урегулирования спора.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нарушение ответчиком агентского договора от 27.02.2020 № 100020/00467Д, повлекшее уплату компанией «Роснефть» штрафа за нарушение срока оборачиваемости цистерн, являющегося для последней убытками в силу статей 15, 393 Гражданского кодекса Российской Федерации. Аффилированность сторон не влияет на разрешение вопроса о взыскании возникших в связи с нарушением договора убытков. Вопрос о размере убытков разрешен судами в соответствии с компетенцией и также как вопрос о досудебном порядке урегулирования спора не образует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с ограниченной ответственностью Sandmark Operations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