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«Агротрейдинговая компания» на основании договора уступки права требования (цессии) обратилось в Арбитражный суд Республики Башкортостан с иском, уточненным в порядке, предусмотренном статьей 49 Арбитражного процессуального кодекса Российской Федерации, о взыскании с открытого акционерного общества «Уфимский комбинат хлебопродуктов» 16 648 248 рублей 65 копеек неустойки за период с 29.06.2018 по 09.08.2019, а также 80 000 рублей судебных расходов по оплате услуг представителя.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«Формат». Решением Арбитражного суда Республики Башкортостан от 22.09.2020 иск удовлетворен, а также распределены судебные расходы по оплате 2 государственной пошлины и расходы по оплате услуг представителя в размере 40 000 рублей. Постановлением Восемнадцатого арбитражного апелляционного суда от 15.01.2021 решение суда первой инстанции оставлено без изменения. Арбитражный суд Уральского округа постановлением от 09.06.2021 указанные судебные акты оставил без изменения. Открытое акционерное общество «Уфимский комбинат хлебопродуктов»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ответчиком обязательств по оплате товара в предусмотренный договором срок, руководствуясь положениями статей 309, 329, 330, 506, 516 Гражданского кодекса Российской Федерации, суды сделали вывод о наличии оснований для взыскания неустойки. Руководствуясь положениями статей 333, 421, 422 Гражданского кодекса Российской Федерации, правовыми позициями Верховного Суда Российской Федерации, изложенными в пунктах 69, 71, 72,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том, что снижение неустойки до определенного ответчиком 3 предела (двукратной учетной ставки Центрального Банка Российской Федерации) приведет к освобождению неисправного должника (ответчика) от негативных последствий длительного неисполнения договорного обязательства, что, в свою очередь, приведет к утрате значения неустойки как меры обеспечения надлежащего исполнения договорных обязательств. Явной несоразмерности подлежащей взысканию неустойки, исходя из обстоятельств дела, периода просрочки исполнения обязательства, размера просроченного исполнением обязательства, а также размера предусмотренной договором неустойки, судами не установлено. Отклоняя довод о злоупотреблении правом, суды исходили из отсутствия доказательств, подтверждающих, что договор уступки права требования заключен истцом и третьим лицом с намерением причинить вред ответчику.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«Уфимский комбинат хлебопродуктов»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