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01.12.2020 из конкурсной массы должника исключены ежемесячно денежные средства в размере 17 841 рублей прожиточного минимума на Колсанова В.В., 15 450 рублей прожиточного минимума на несовершеннолетних детей должника; в остальной части заявления отказано. Постановлением Девятого арбитражного апелляционного суда от 10.02.2021, оставленным без изменения постановлением Арбитражного суда Московского округа от 19.05.2021, определение от 01.12.2020 отменено, в удовлетворении заявления отказано. В кассационной жалобе Колсанов В.В. просит об отмене судебных актов, ссылаясь на неисследование и неустановление необходимых для разрешения спора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доходы должника и его действия в отношении составляющего конкурсную массу имущества, вследствие чего признали заявленные требования необоснованными, имеющими признаки злоупотребления правом с целью причинения вреда правам и имущественным интересам кредиторов и в соответствии со статьями 10, 446 Гражданского процессуального кодекса Российской Федерации, пунктом 3 статьи 213.25 Федерального закона от 26.10.2002 № 127-ФЗ «О несостоятельности (банкротстве)» не подлежащими удовлетоврению. Доводы жалобы не составляют оснований для пересмотра судебных актов в порядке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Колсанову Вадиму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