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«Новомет-Пермь» обратилось в Арбитражный суд Пермского края с иском о взыскании с общества с ограниченной ответственностью «Пермь-Инвест» 1 109 567 рублей 07 копеек убытков, возникших в результате ненадлежащего исполнения обязательств по договору об оказании транспортных услуг от 01.01.2017 № 17020.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«Страховая компания «Согласие». Решением Арбитражного суда Пермского края от 17.11.2020 иск удовлетворен. Постановлением Семнадцатого арбитражного апелляционного суда от 21.01.2021 решение суда первой инстанции оставлено без изменения. Арбитражный суд Уральского округа постановлением от 20.05.2021 указанные судебные акты оставил без изменения. 2 Общество с ограниченной ответственностью «Пермь-Инвест»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понесенные истцом расходы по оплате штрафных санкций в пользу контрагента в связи с нарушением ответчиком сроков доставки товара являются убытками истца, признав доказанной причинную связь между нарушением ответчиком договорных обязательств и понесенными истцом убытками, руководствуясь положениями статей 15, 393 Гражданского кодекса Российской Федерации, суды пришли к выводу об обоснованности иска.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«Пермь-Инвест»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