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Сахалинской области от 25.11.2020, оставленным без изменения постановлением Пятого арбитражного апелляционного суда от 29.01.2021 и постановлением Арбитражного суда Дальневосточного округа от 20.05.2021, с общества в пользу предпринимателя 2 взыскано 4 200 000 руб., в удовлетворении остальной части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Разрешая спор и частично удовлетворяя исковые требования, суды первой и апелляционной инстанций руководствовались статьями 8, 153, 307, 614, 424, 434, 642 Гражданского кодекса Российской Федерации и, исследовав и оценив по правилам статьи 71 Арбитражного процессуального кодекса Российской Федерации представленные в материалы дела доказательства, квалифицировав правоотношения сторон в отсутствие заключенного письменного договора как фактически сложившиеся отношения по аренде транспортного средства без экипажа, установив факт передачи предпринимателем спорного имущества обществу и пользования последним этим имуществом в заявленный период, пришли к выводу о наличии у общества обязанности по внесению арендной платы. Определяя размер подлежащих удовлетворению требований, суды, отклонив ссылки сторон на представленные ими заключения, исходили из цены предложения на территории Смирныховского района Сахалинской области, где фронтальный погрузчик использовался обществом для работы на карьере из расчета 300 000 руб. в месяц. Суд округа поддержал выводы судов первой и апелляционной инстанций.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3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«Гидростройсервис»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