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09.11.2020, оставленным без изменения постановлениями Семнадцатого арбитражного апелляционного суда от 03.02.2021 и Арбитражного суда Уральского округа от 19.05.2021, в удовлетворении иска отказано. 2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на основании договора о предоставлении субсидии из бюджета города Перми в 2018 году в целях возмещения затрат получателем, связанных с выполнением работ по благоустройству дворовой территории многоквартирных домов, заключенному с администрацией в соответствии с Порядком предоставления субсидий на благоустройство дворовых территорий многоквартирных домов города Перми в рамках реализации муниципальной Программы «Формирование современной городской среды», утвержденным постановлением администрации города Перми от 05.05.2017 № 342 (далее - Порядок № 342), предоставлена субсидия в сумме 3 164 250 рублей 29 копеек. В обоснование иска администрация указала на то, что по результатам проведенной министерством проверки установлен факт нецелевого использования средств бюджета, а именно из средств субсидии, предоставленной на ремонт дворовых проездов и устройство тротуаров, оплачены работы по ремонту горловин и регулировке высоты колодцев, а также некачественно выполнены работы по устройству покрытия проезда. Исследовав и оценив представленные в материалы дела доказательства, руководствуясь положениями Бюджетного кодекса Российской Федерации, государственной программой Российской Федерации «Обеспечение доступным и комфортным жильем и коммунальными услугами граждан РФ», утвержденной постановлением Правительства Российской Федерации от 30.12.2017 № 1710, Порядком предоставления, распределения и расходования субсидий из бюджета Пермского края бюджетам муниципальных образований Пермского края на поддержку муниципальных программ формирования современной городской среды, в том числе в рамках федерального проекта «Формирование комфортной городской среды», утвержденным постановлением Правительства Пермского края от 20.03.2018 3 № 163, Порядком предоставления субсидий на благоустройство дворовых территорий многоквартирных домов города Перми в рамках реализации муниципальной программы «Формирование современной городской среды», утвержденным постановлением администрации города Перми от 05.05.2017 № 342, суды пришли к выводу об отсутствии оснований для удовлетворения иска. Судебные инстанции исходили из недоказанности нецелевого расходования бюджетных средств. При исследовании обстоятельств установлено, что размер субсидии был согласован администрацией с учетом спорных работ, включенных в локальный сметный расчет; данные работы указаны в актах выполненных работ и приняты администрацией, что свидетельствует о признании факта использования субсидии по целевому назначению. Приведенные в жалобе доводы с учетом установленных обстоятельств по делу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