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15.10.2020, оставленным без изменения постановлением Десятого арбитражного апелляционного суда от 28.01.2021 и постановлением Арбитражного суда 2 Московского округа от 19.05.2021, в удовлетворении первоначального и встречного исков отказано. В кассационной жалобе, поданной в Верховный Суд Российской Федерации, общество, выражая несогласие с выводами судов в части отказа в удовлетворении его требований, просит отменить указанные судебные акты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общества мотивированы тем, что завод не исполнил обязательства по поставке оплаченных компанией строительных материалов и не возвратил ей денежные средства, право требования которых перешло к обществу на основании договора об уступке.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заводом строительных материалов на спорную сумму и их принятия уполномоченным лицом компании, руководствуясь статьями 182, 185, 382, 384, 1102 Гражданского кодекса Российской Федерации, суды первой и апелляционной инстанций пришли к выводу о недоказанности наличия на стороне завода неосновательного обогащения и отказали в удовлетворении исковых требований общества. Суд округа поддержал выводы судов первой и апелляционной инстанций. Доводы заявителя, в том числе о неправомерном отказе в назначении судебной экспертизы, недоказанности факта получения компанией спорных материалов, были предметом рассмотрения судов и мотивированно отклонены. Ссылка на судебные акты по иным делам не может быть принята во внимание, поскольку при рассмотрении спора суды учитывают конкретные обстоятельства каждого дела и доказательства, представленные сторонами, на основании исследования и оценки которых и принимается судебный акт.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3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«Райт Вэйс»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