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05.10.2020, оставленным без изменения постановлением Семнадцатого арбитражного апелляционного суда от 13.01.2021 и постановлением Арбитражного суда Уральского округа от 07.06.2021, заявленные требования удовлетворены. В кассационной жалобе, поданной в Верховный Суд Российской Федерации, учреждение,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 в ином составе судей.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инстанции установили, что при принятии решения об одностороннем отказе от исполнения спорного договора учреждение действовало недобросовестно, так как не представило обществу возможность завершить работы и устранить недостатки. При таких обстоятельствах, руководствуясь статьями 153, 167, 168, 309, 310, 407, 450.1, 721, 723, 763 Гражданского кодекса Российской Федерации,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наличии оснований для удовлетворения исковых требований, с чем впоследствии согласился суд округа. Выводы судов подробно мотивированы в обжалуемых судебных актах.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бюджетного учреждения «Администрация Камского бассейна внутренних водных путей»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