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16.11.2020, оставленным без изменения постановлениями Девятого арбитражного апелляционного суда от 17.03.2021 и Арбитражного суда Московского округа от 18.06.2021, в удовлетворении заявления в части признания незаконными действий министерства отказано, в части требования о признании недействительным акта проверки от 25.02.2019 производство по делу прекращено.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(поставщик) и ПАО АКК «Прогресс» (покупатель) во исполнение государственных контрактов для нужд министерства заключены договоры от 21.11.2018 на изготовление и поставку двигателей ВК-2500-01 ориентировочной стоимостью 54 566 916 рублей 44 копейки и 65 480 299 рублей 73 копейки за штуку. Согласно заключению, выданному 192 военным представительством Министерства обороны Российской Федерации (далее - 192 ВП МО РФ), предложено установить в рамках государственного оборонного заказа в 2019 году фиксированную цену изготовления одного двигателя ВК-2500 из российских комплектующих в размере 54 463 078 рублей 35 копеек без НДС. Кроме того, по итогам совместного рассмотрения расчетно-калькуляционных материалов, направленных головным исполнителем ПАО АКК «ПРОГРЕСС» министерству, цена на двигатель ВК-2500 в связи с уточнением процента общепроизводственных и общехозяйственных расходов и с учетом фактической производственной программы общества в 2018 году определена в размере 45 120 544 рублей 07 копеек без НДС. Результаты совместного рассмотрения представленных расчетно-калькуляционных материалов оформлены актом комиссии от 25.02.2019 № 214/1034 и доведены Департаментом аудита государственных контрактов Министерства обороны Российской Федерации до сведения АО «Вертолеты России» - единственного поставщика в сфере государственного оборонного заказа (головному исполнителю) и управляющей организации ПАО ААК «Прогресс» письмом от 15.04.2019 № 214/2350. Не согласившись с действиями министерства по установлению стоимости одного двигателя на 9 342 534 рубля 28 копеек меньше определенной 192 ВП МО РФ, а также с составленным в отношении исполнителя актом проверки от 25.02.2019 № 214/1034, общество обратилось в арбитражный суд. Исследовав и оценив представленные в материалы дела доказательства, руководствуясь положениями статей 421 , 431 , 432 , 709 , 763 Гражданского кодекса Российской Федерации, Федерального закона от 29.12.2012 № 275-ФЗ «О государственном оборонном заказе», постановлениями Правительства Российской Федерации от 28.04.2015 № 407 «О порядке определения начальной (максимальной) цены государственного контракта, а также цены государственного контракта, заключаемого с единственным поставщиком (подрядчиком, исполнителем), при осуществлении закупок товаров, работ, услуг по государственному оборонному заказу», от 02.12.2017 №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суды пришли к выводу об отсутствии оснований для удовлетворения заявления в части признания незаконными действий министерства. Судебные инстанции исходили из соответствия действий министерства по установлению фиксированной цены единицы продукции общества требованиям действующего законодательства. При этом суды отметили невозможность принятия заключения военного представительства для определения фиксированной цены поставляемой продукции вследствие определения ориентировочной стоимости методом индексации цены 2018 года с учетом индекса цен производителей на момент согласования, и неопределения базовой цены двигателя ВК-2500. Кроме того, суды указали, что вопросы договорных отношений, в том числе относительно фиксированной цены единицы поставляемой продукции, рассматриваются исключительно между министерством и головным исполнителем, которым возражений относительно определенной цены двигателей не заявлено. Прекращая производство по делу в части требования относительно оспаривания акта проверки, суды исходили из того, что указанный документ признаками ненормативного акта не обладает. Учитывая изложенное,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«ОДК-Климов»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"ОДК-Климов" (подробнее) Ответчики: Министерство обороны Российской Федерации (подробнее) Иные лица: АО "Вертолеты России" (подробнее) ПАО АКК "Прогресс"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