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Школьник Аким Вадимович и Школьник Екатерина Вадимовна обратились в суд с жалобой на действия (бездействие) конкурсного управляющего должником Федоренко С.С., просили отстранить его от исполнения возложенных на него обязанностей. Определением Арбитражного суда Ростовской области от 28.12.2020, оставленным без изменения постановлениями Пятнадцатого арбитражного апелляционного суда от 25.03.2021 и Арбитражного суда Северо-Кавказского округа от 23.06.2021, заявленные требования удовлетворены.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124, 129, 145 Федерального закона от 26.10.2002 № 127-ФЗ «О несостоятельности (банкротстве)», установив, что анализ финансового состояния должника проведён заявителем несвоевременно и ненадлежащим образом, мер по выявлению и взысканию дебиторской задолженности не принято, а целесообразность привлечения специалиста в условиях наличия у арбитражного управляющего первичных познаний в оценочной деятельности отсутствовала, признали заявленные требования обоснованными и удовлетворили их в полном объёме.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Федоренко Станиславу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