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31.08.2020, оставленным без изменения постановлением Семнадцатого арбитражного апелляционного суда от 16.12.2021 и постановлением Арбитражного суда Уральского округа от 17.05.2021, первоначальные исковые требования удовлетворены частично, расторгнуты договоры поставки от 12.11.2019 № 363Т/19, № 364Т/19, с общества в пользу завода взыскано 1 000 000 руб. неустойки, в удовлетворении остальной части требований отказано. Встречный иск удовлетворен, с завода в пользу общества взыскано 3 964 084 руб. 74 коп. долга. В результате зачета первоначальных и встречных требований с завода в пользу общества взыскано 2 964 084 руб. 74 коп. долга.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в части удовлетворения требования завода о расторжении договоров поставки и направить дело в этой части на новое рассмотрение в Арбитражный суд Свердловской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спорных договоров, предусматривающих право завода (покупатель) требовать расторжения договора в случае нарушения обществом (поставщик) срока поставки более чем на три календарных дня или более двух раз в период действия договора, установив факт неисполнения обществом обязательств по поставке товара в предусмотренный срок, суды первой и апелляционной инстанций признали данные нарушения существенными и, руководствуясь статьями 450 , 456 , 506 , 523 , 525 , 526 Гражданского кодекса Российской Федерации, пришли к выводу о наличии правовых оснований для расторжения договоров, с чем впоследствии согласился суд округа. Доводы общества о несоблюдении заводом досудебного порядка урегулирования спора были предметом рассмотрения судов и получили правовую оценку. Доводы кассационной жалобы не опровергают выводы судов, направлены на переоценку обстоятельств дела, установленных судами,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«СамараАгроПромПереработка»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ОАО "Богдановичский комбикормовый завод" (подробнее) Ответчики: ЗАО Самараагропромпереработка (подробнее) Судьи дела: Чучунова Н.С.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