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Предприниматель) обратился в Арбитражного суда Иркутской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«БЦ «Троицкий» (далее – Общество) о взыскании 565 248 рублей 04 копеек убытков. Решением Арбитражного суда Иркутской области от 10.11.2020, оставленным без изменения постановлением Четвертого арбитражного апелляционного суда от 10.03.2021 и постановлением Арбитражного суда Восточно-Сибирского округа от 01.07.2021, требования удовлетворены частично: с Общества в пользу Предпринимателя взыскано 505 248 рублей 04 копейки убытков, в остальной части иска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В обоснование доводов жалобы заявитель указывает, что судами при вынесении обжалуемых актов не учтено, что 100 000 рублей из взысканной суммы были израсходованы не истцом, а ФИО2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Предприниматель является собственником нежилых помещений в здании, расположенном по адресу: &lt;...&gt;, общей площадью 1337,2 кв. м. Истец 13.10.2016 письменно обратился к генеральному директору Общества (управляющая организация, обслуживающая данное здание) с требованием о проведении восстановительных работ и направлении комиссии для оценки ущерба, причиненного нежилому помещению Предпринимателя, вследствие затопления осадками по причине аварийного состояния кровельного покрытия крыши. Ссылаясь на то, что Общество, несмотря на неоднократные обращения собственника помещений, ремонт кровли не произвело, в связи с чем Предприниматель был вынужден самостоятельно осуществить ремонтные работы, последний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210 , 779 , 1005 Гражданского кодекса Российской Федерации, статьями 39 , 44 , 48 , 161 , 162 Жилищного кодекса Российской Федерации, суды частично удовлетворили заявленные требования, установив факт неисполнения Обществом, являвшимся управляющей организацией, в период с 2016 года по 2019 год обязанности по осуществлению технического обслуживания и текущего ремонта крыши здания.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«БЦ «Троицкий»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ООО "БЦ "Троицкий" (подробнее) Иные лица: ООО "Новые системы проектирования"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