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28.12.2020, оставленным без изменения постановлением Одиннадцатого арбитражного апелляционного суда от 16.02.2021, ходатайство должника об исключении из конкурсной массы 5/12 долей в праве общей долевой собственности на квартиру, расположенную по адресу: г.Москва, Лаврушинский переулок, д. 17, стр. 2, кв. 27, удовлетворено; в удовлетворении ходатайства финансового управляющего об утверждении Положения о порядке, сроках и условиях реализации имущества должника. В кассационной жалобе Цитриков А.П. просит об отмене судебных актов, ссылаясь на непривлечение к участию в обособленном споре заинтересованных лиц и игнорирование предпринятого должником обхода правила об исполнительском иммунитете.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исключаемая из конкурсной массы доля в квартире находится в собственности должника по праву наследования и является единственным пригодным для его проживания жильем, придающим ей в силу статьи 446 Гражданского процессуального кодекса Российской Федерации, статьи 213.25 Федерального закона от 26.10.2002 № 127-ФЗ «О несостоятельности (банкротстве)» исполнительский иммунитет. Суды также установили, что из ранее занимаемой квартиры должник выбыл и право собственности должника на нее прекращено до возбуждения дела о банкротстве. Доводы кассационной жалобы не подтверждают нарушения норм права и не составляют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Цитрикову А.П.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