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29.09.2020, оставленным без изменения постановлением Девятого арбитражного апелляционного суда от 21.12.2020 и постановлением Арбитражного суда Московского округа от 13.04.2021,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материального права, просит отменить указанные судебные акты и принять по делу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предпринимателя (поставщик) мотивированы тем, что в период действия контракта от 26.02.2020 № 0014-44/2020 (далее – контракт) учреждение (заказчик) уклонялось от подачи заявок на поставку товара.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указанная в техническом задании заявка не отвечает признакам отгрузочной разнарядки; условий, обязывающих заказчика направить в адрес поставщика заявку, а также запрещающих последнему осуществить поставку товара без заявки заказчика, контракт не содержит; доказательств извещения заказчика о готовности товара к выборке поставщиком не представлено, руководствуясь статьями 309, 310, 421, 509 Гражданского кодекса Российской Федерации, суды первой и апелляционной инстанций пришли к выводу об отсутствии оснований для взыскания с ответчика стоимости непоставленного товара, в связи с чем отказали в удовлетворении иска. Суд округа поддержал выводы судов первой и апелляционной инстанций. Изложенные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Крашенинникова Анатолия Вячеславовича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