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Кузьминых Владимир Васильевич обратился в суд с заявлением о признании недействительными сделками договора займа от 22.05.2014 № ПИ-2014\008, заключенного должником и обществом с ограниченной ответственностью «Продо Инвест» (правопреемник общества «Инвест Тюмень»), договора уступки прав требования от 22.05.2014, заключенного должником и открытым акционерным обществом «Ильиногорское», а также договора займа от 26.05.2014 № ДМК-2014\50, заключенного должником и обществом «Ильиногорское». Определением Арбитражного суда Нижегородской области от 18.09.2020, оставленным без изменения постановлениями Первого арбитражного апелляционного суда от 26.01.2021 и Арбитражного суда Волго-Вятского округа от 19.05.2021,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оспариваемые сделки, совершены со злоупотреблением правом и очевидной целью причинения вреда кредиторам должника, такой вред был причинён, а стороны сделок были осведомлены о цели вывода активов.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 Тюмень»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