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Марчевская Ирина Викторовна обратилась в суд с заявлением о взыскании с Хакимова Р.И. 200 000 рублей судебных расходов на оплату представительских услуг, понесённых при рассмотрении обособленного спора об оспаривании сделки должника с Хакимовым Р.И. Определением Арбитражного суда Пермского края от 09.02.2021, оставленным без изменения постановлением Семнадцатого арбитражного апелляционного суда от 25.03.2021, в удовлетворении заявления отказано. Постановлением Арбитражного суда Уральского округа от 23.06.2021 данные судебные акты отменены, обособленный спор направлен на новое рассмотрение в Арбитражный суд Пермского края.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спор на новое рассмотрение, суд округа, руководствуясь статьёй 110 Арбитражного процессуального кодекса Российской Федерации, пунктом 24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пришёл к выводам о том, что судами допущено существенное нарушение норм материального и процессуального права, повлиявшее на исход рассмотрения дела, а все обстоятельства, имеющие существенное значение для его правильного разрешения, не были исследованы и оценены.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При новом рассмотрении заявитель не лишен возможности изложить свои доводы и возражения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Хакимову Ринату Ильдусовичу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