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31.08.2021 с ходатайством о восстановлении срока на обжалование. В обоснование несвоевременной подачи жалобы общество ссылается на пребывание директора в командировке и на больничном по уходу за несовершеннолетним ребенком. Согласно части 2 статьи 291.2 Арбитражного процессуального кодекса Российской Федерации (далее – Кодекс) восстановление срока возможно при пропуске его по причинам, не зависящим от лица, обратившегося с такой жалобой. Обозначенные обстоятельства носят субъективный характер, преодолимы через представительство, поэтому в связи с ними срок восстановлению не подлежит. Учитывая возвращение кассационной жалобы в связи с отказом в восстановлении срока, ходатайство общества об отсрочке уплаты государственной пошлины не рассмтривается. 2 Руководствуясь статьей 184, статьей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«ДИ Коммерсиалъ» в восстановлении срока подачи кассационной жалобы на жалобы решение Арбитражного суда Волгоградской области от 09.12.2020 по делу № А12-236/2020, постановление Двенадцатого арбитражного апелляционного суда от 20.02.2021 и постановление Арбитражного суда Поволжского округа от 11.06.2021 по тому же делу. Возвратить обществу с ограниченной ответственностью «ДИ Коммерсиалъ» кассационную жалобу.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