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06.09.2021 с ходатайством о восстановлении пропущенного срока.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Поскольку причин, объективно препятствовавших своевременному обжалованию судебных актов в ходатайстве не приведено, требования, установленные для подачи кассационной жалобы, не исполнены, срок на обжалование не может быть восстановлен.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возвращаются. Руководствуясь статьей 184, статьей 291.2, пунктом 3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Сабирову Ильфару Каримовичу в восстановлении срока подачи кассационной жалобы на определение Арбитражного суда Республики Татарстан от 22.12.2020 и постановление Арбитражного суда Поволжского округа от 01.07.2021 по делу № А65-22214/2018. Кассационную жалобу Сабирова Ильфара Каримовича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