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07.09.2021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Северо-Западного округа от 01.07.2021, срок на обжалование которого истек 01.09.2021. Несвоевременную подачу жалобы заявитель обосновывает отсутствием представителя на территории Российской Федерации, введением ограничений 2 на территории Санкт-Петербурга, связанных с распространением новой коронавирусной инфекции, большим объемом исследуемой информации.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3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извещена о судебном разбирательстве в суде первой инстанции, являлась инициатором апелляционного и кассационного обжалования, и ее представитель участвовал при рассмотрении дела в судах трех инстанций. С полным текстом последнего обжалуемого судебного акта - постановления суда округа от 01.07.2021 общество могло ознакомиться 02.07.2021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Временная нетрудоспособность представителя (отсутствие на территории Российской Федерации)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с наличием которых процессуальный закон связывает возможность восстановления срока на обжалование судебных актов. 4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«Металлургический завод «Петросталь»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Санкт-Петербурга и Ленинградской области от 10.08.2020, постановление Тринадцатого арбитражного апелляционного суда от 01.03.2021, постановление Арбитражного суда Северо-Западного округа от 01.07.2021 по делу № А56-19937/2020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