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«Спецстройконтракт» обратилось в Арбитражный суд Иркутской области с иском о взыскании с акционерного общества «Иркутскэнерготранс» 102 983 рублей 21 копейки неустойки за период с 23.08.2018 по 15.07.2020 по договору от 26.07.2016 № 731/Т, с последующим ее начислением до даты фактического исполнения основного обязательства. К участию в деле в качестве третьего лица, не заявляющего самостоятельных требований относительно предмета спора, привлечено акционерное общество «Байкалэнерго». Решением Арбитражного суда Иркутской области от 13.11.2020, принятым в порядке упрощенного производства, иск удовлетворен в части взыскания 102 983 рублей 21 копейки неустойки, во взыскании неустойки, начисленной с 16.07.2020 по день фактического исполнения основного обязательства, отказано. Постановлением Четвертого арбитражного апелляционного суда от 09.02.2021 решение суда первой инстанции оставлено без изменения. Арбитражный суд Восточно-Сибирского округа постановлением от 17.05.2021 указанные судебные акты изменил в части отказа в удовлетворении требования о взыскании неустойки по день фактического исполнения обязательства и взыскал неустойку в размере 1/300 ключевой ставки Центрального банка Российской Федерации за каждый день просрочки от суммы задолженности с 16.07.2020 до даты фактической оплаты задолженности. Акционерное общество «Иркутскэнерготранс»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 соответствии с положениями статей 16 , 69 Арбитражного процессуального кодекса Российской Федерации обстоятельства, установленные вступившими в законную силу судебными актами по делам № А19-336/2017 и № А19-20468/2018 Арбитражного суда Иркутской области, руководствуясь положениями статей 195 , 196 , 199 , 200 , 202 , 204 , 207 , 330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об обоснованности требования истца о взыскании неустойки за просрочку исполнения обязательства, признав срок исковой давности не пропущенным. Отменяя судебные акты суда первой и апелляционной инстанций в части, суд округа, руководствуясь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отсутствие правовых оснований для ограничения суммы неустойки (лимит ответственности) или более короткий срок для ее начисления, признал требование о присуждении неустойки по день фактического исполнения обязательства обоснованным. Доводы, изложенные в кассационной жалобе, о пропуске истцом срока исковой давности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«Иркутскэнерготранс»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"СпецСтройКонтракт" (подробнее) Ответчики: АО "Иркутскэнерготранс"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