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28.09.2020, оставленным без изменения постановлением Четырнадцатого арбитражного апелляционного суда от 01.02.2021 и постановлением Арбитражного суда Северо-Западного округа от 19.05.2021, с общества в пользу предпринимателя взыскано 661 018 руб. 18 коп. долга, 572 111 руб. 18 коп. неустойки и неустойка в размере 0,3%, начисленная на сумму долга за каждый день просрочки, начиная с 25.09.2020 по день фактической уплаты долга; в удовлетворении остальной части исковых требований отказано. 2 В кассационной жалобе, поданной в Верховный Суд Российской Федерации, предприниматель, ссылаясь на нарушение судами норм права, несоответствие их выводов фактическим обстоятельствам дела, просит отменить указанные судебные акты в части отказа во взыскании задолженности по работам, выполненным по актам от 28.12.2018 № 43 в сумме 591 450 руб., от 22.04.2020 № 17 в сумме 1 801 377 руб., пеней в сумме 1 186 703 руб. 92 коп. и направить дело в указанной части на новое рассмотрение в суд первой инстанции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имеющиеся в деле доказательства, признав неподтвержденным факт выполнения предпринимателем (подрядчик) работ по актам от 28.12.2018 № 43 и от 22.04.2020 № 17 в связи с отсутствием доказательств соблюдения сторонами предусмотренного договором порядка приемки работ по этим актам, принимая во внимание, что предприниматель не извещал общество (заказчик) о завершении работ по названным актам и не вызывал его для участия в приемке результата работ; делянки в кварталах лесничества, в которых выполнялись работы по данным актам, предпринимателю в работу не передавались, руководствуясь статьями 309, 310, 702, 711 Гражданского кодекса Российской Федерации, суды первой и апелляционной инстанций отказали во взыскании задолженности по спорным актам и неустойки за просрочку оплаты.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Пилицина Владимира Николаевича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